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C556" w14:textId="77777777" w:rsidR="0015570F" w:rsidRPr="00FC38FD" w:rsidRDefault="0015570F" w:rsidP="00FC38FD">
      <w:pPr>
        <w:spacing w:before="0" w:line="280" w:lineRule="exact"/>
        <w:jc w:val="left"/>
        <w:rPr>
          <w:rFonts w:ascii="Arial" w:hAnsi="Arial"/>
          <w:b/>
          <w:sz w:val="32"/>
          <w:szCs w:val="32"/>
          <w:lang w:val="en-AU"/>
        </w:rPr>
      </w:pPr>
    </w:p>
    <w:p w14:paraId="25887D6A" w14:textId="77777777" w:rsidR="00011868" w:rsidRDefault="00011868" w:rsidP="00011868">
      <w:pPr>
        <w:pStyle w:val="Heading2"/>
        <w:spacing w:before="0" w:line="276" w:lineRule="auto"/>
        <w:rPr>
          <w:rFonts w:ascii="Arial" w:hAnsi="Arial"/>
          <w:color w:val="auto"/>
          <w:szCs w:val="28"/>
        </w:rPr>
      </w:pPr>
      <w:r>
        <w:rPr>
          <w:rFonts w:ascii="Arial" w:hAnsi="Arial"/>
          <w:color w:val="auto"/>
          <w:szCs w:val="28"/>
        </w:rPr>
        <w:t>Legislation Report Template</w:t>
      </w:r>
    </w:p>
    <w:p w14:paraId="00401C6F" w14:textId="77777777" w:rsidR="00011868" w:rsidRPr="00DF2389" w:rsidRDefault="00011868" w:rsidP="00011868"/>
    <w:p w14:paraId="368F8865" w14:textId="77777777" w:rsidR="00011868" w:rsidRDefault="00011868" w:rsidP="00011868">
      <w:pPr>
        <w:spacing w:before="0" w:line="276" w:lineRule="auto"/>
        <w:jc w:val="left"/>
        <w:rPr>
          <w:rFonts w:ascii="Arial" w:hAnsi="Arial"/>
          <w:lang w:val="en-AU"/>
        </w:rPr>
      </w:pPr>
    </w:p>
    <w:p w14:paraId="3B705BC4" w14:textId="77777777" w:rsidR="00011868" w:rsidRPr="008E2DC0" w:rsidRDefault="00011868" w:rsidP="00011868">
      <w:pPr>
        <w:rPr>
          <w:rFonts w:ascii="Arial" w:hAnsi="Arial"/>
          <w:b/>
          <w:bCs/>
        </w:rPr>
      </w:pPr>
      <w:r w:rsidRPr="008E2DC0">
        <w:rPr>
          <w:rFonts w:ascii="Arial" w:hAnsi="Arial"/>
          <w:b/>
          <w:bCs/>
        </w:rPr>
        <w:t>Sources of information</w:t>
      </w:r>
    </w:p>
    <w:p w14:paraId="607D4498" w14:textId="6A8F1B61" w:rsidR="00011868" w:rsidRDefault="518A6DA2" w:rsidP="00011868">
      <w:pPr>
        <w:rPr>
          <w:rFonts w:ascii="Arial" w:hAnsi="Arial"/>
        </w:rPr>
      </w:pPr>
      <w:r w:rsidRPr="774B9892">
        <w:rPr>
          <w:rFonts w:ascii="Arial" w:hAnsi="Arial"/>
        </w:rPr>
        <w:t xml:space="preserve">Outline at least three sources of information that can be used to identify information about compliance requirements relevant to the company. </w:t>
      </w:r>
    </w:p>
    <w:p w14:paraId="150504A3" w14:textId="0B794EAE" w:rsidR="774B9892" w:rsidRDefault="774B9892" w:rsidP="774B9892">
      <w:pPr>
        <w:pStyle w:val="Responseblock"/>
        <w:ind w:left="0"/>
      </w:pPr>
    </w:p>
    <w:p w14:paraId="0AE9D591" w14:textId="71AEE3C9" w:rsidR="00011868" w:rsidRDefault="774B9892" w:rsidP="00011868">
      <w:pPr>
        <w:pStyle w:val="Responseblock"/>
        <w:ind w:left="0"/>
      </w:pPr>
      <w:r>
        <w:t xml:space="preserve">Examples of sources of information </w:t>
      </w:r>
      <w:r w:rsidR="00C744ED">
        <w:t xml:space="preserve">you may have </w:t>
      </w:r>
      <w:r w:rsidR="000364B9">
        <w:t xml:space="preserve">used </w:t>
      </w:r>
      <w:r>
        <w:t>may include:</w:t>
      </w:r>
    </w:p>
    <w:p w14:paraId="18B62FB4" w14:textId="52A3F006" w:rsidR="00C46D10" w:rsidRDefault="00C46D10" w:rsidP="774B9892">
      <w:pPr>
        <w:pStyle w:val="Responseblock"/>
        <w:ind w:left="0"/>
      </w:pPr>
      <w:hyperlink r:id="rId10" w:history="1">
        <w:r>
          <w:rPr>
            <w:rStyle w:val="Hyperlink"/>
          </w:rPr>
          <w:t>Financial services | ASIC - Australian Securities and Investments Commission</w:t>
        </w:r>
      </w:hyperlink>
    </w:p>
    <w:p w14:paraId="65BD3F67" w14:textId="764E4D0F" w:rsidR="774B9892" w:rsidRDefault="774B9892" w:rsidP="774B9892">
      <w:pPr>
        <w:pStyle w:val="Responseblock"/>
        <w:ind w:left="0"/>
      </w:pPr>
      <w:r w:rsidRPr="774B9892">
        <w:t xml:space="preserve">ASIC - </w:t>
      </w:r>
      <w:r w:rsidR="518A6DA2">
        <w:t xml:space="preserve">the ASIC website would be a key source of information </w:t>
      </w:r>
      <w:r w:rsidR="0041586D">
        <w:t>on legislation and regulations related</w:t>
      </w:r>
      <w:r w:rsidR="518A6DA2">
        <w:t xml:space="preserve"> to financial services.</w:t>
      </w:r>
    </w:p>
    <w:p w14:paraId="04B78937" w14:textId="2B742D05" w:rsidR="774B9892" w:rsidRDefault="008256C8" w:rsidP="774B9892">
      <w:pPr>
        <w:pStyle w:val="Responseblock"/>
        <w:ind w:left="0"/>
      </w:pPr>
      <w:hyperlink r:id="rId11" w:history="1">
        <w:r>
          <w:rPr>
            <w:rStyle w:val="Hyperlink"/>
          </w:rPr>
          <w:t>Financial and insurance services industry | business.gov.au</w:t>
        </w:r>
      </w:hyperlink>
    </w:p>
    <w:p w14:paraId="058BEF85" w14:textId="56767246" w:rsidR="00C744ED" w:rsidRDefault="008256C8" w:rsidP="774B9892">
      <w:pPr>
        <w:pStyle w:val="Responseblock"/>
        <w:ind w:left="0"/>
      </w:pPr>
      <w:r>
        <w:t>Business</w:t>
      </w:r>
      <w:r w:rsidR="00844141">
        <w:t xml:space="preserve">.gov.au has information on </w:t>
      </w:r>
      <w:r w:rsidR="00844141" w:rsidRPr="00844141">
        <w:t>relevant legislation, licences and permits, and other business requirements</w:t>
      </w:r>
      <w:r w:rsidR="00844141">
        <w:t xml:space="preserve"> for </w:t>
      </w:r>
      <w:r w:rsidR="00BC26AE">
        <w:t>financial and insurance services businesses</w:t>
      </w:r>
      <w:r w:rsidR="00C744ED">
        <w:t>.</w:t>
      </w:r>
    </w:p>
    <w:p w14:paraId="3CF0358A" w14:textId="559BCBDE" w:rsidR="00011868" w:rsidRDefault="518A6DA2" w:rsidP="00C86BEE">
      <w:pPr>
        <w:pStyle w:val="Responseblock"/>
        <w:ind w:left="0"/>
      </w:pPr>
      <w:r>
        <w:t xml:space="preserve"> </w:t>
      </w:r>
      <w:hyperlink r:id="rId12" w:history="1">
        <w:r w:rsidR="00C86BEE">
          <w:rPr>
            <w:rStyle w:val="Hyperlink"/>
          </w:rPr>
          <w:t>Welcome to APRA | APRA</w:t>
        </w:r>
      </w:hyperlink>
    </w:p>
    <w:p w14:paraId="54E8D71E" w14:textId="190ADE92" w:rsidR="00C86BEE" w:rsidRDefault="00B86ACC" w:rsidP="00C86BEE">
      <w:pPr>
        <w:pStyle w:val="Responseblock"/>
        <w:ind w:left="0"/>
      </w:pPr>
      <w:r w:rsidRPr="00B86ACC">
        <w:t>APRA is Australia's prudential regulator of banks, insurance companies and most superannuation funds</w:t>
      </w:r>
      <w:r w:rsidR="00237D8B">
        <w:t>.</w:t>
      </w:r>
      <w:r w:rsidR="00237D8B" w:rsidRPr="00237D8B">
        <w:t xml:space="preserve"> </w:t>
      </w:r>
      <w:r w:rsidR="00237D8B" w:rsidRPr="00237D8B">
        <w:t>APRA</w:t>
      </w:r>
      <w:r w:rsidR="005B79DB">
        <w:t>'</w:t>
      </w:r>
      <w:r w:rsidR="00237D8B" w:rsidRPr="00237D8B">
        <w:t>s focus is on industry segments rather than financial products. The products associated with these segments include banking products, insurance products and superannuation products.</w:t>
      </w:r>
      <w:r w:rsidR="00237D8B">
        <w:t xml:space="preserve"> </w:t>
      </w:r>
      <w:r w:rsidR="00C36AD7">
        <w:t xml:space="preserve"> </w:t>
      </w:r>
    </w:p>
    <w:p w14:paraId="7D7EADA0" w14:textId="77777777" w:rsidR="00C36AD7" w:rsidRPr="008E2DC0" w:rsidRDefault="00C36AD7" w:rsidP="00C86BEE">
      <w:pPr>
        <w:pStyle w:val="Responseblock"/>
        <w:ind w:left="0"/>
      </w:pPr>
    </w:p>
    <w:p w14:paraId="6642D27C" w14:textId="77777777" w:rsidR="00011868" w:rsidRPr="008E2DC0" w:rsidRDefault="00011868" w:rsidP="00011868">
      <w:pPr>
        <w:rPr>
          <w:rFonts w:ascii="Arial" w:hAnsi="Arial"/>
          <w:b/>
          <w:bCs/>
        </w:rPr>
      </w:pPr>
      <w:r w:rsidRPr="008E2DC0">
        <w:rPr>
          <w:rFonts w:ascii="Arial" w:hAnsi="Arial"/>
          <w:b/>
          <w:bCs/>
        </w:rPr>
        <w:t>Legislation and regulations</w:t>
      </w:r>
    </w:p>
    <w:p w14:paraId="2C91D9B5" w14:textId="5FCFCF38" w:rsidR="00011868" w:rsidRDefault="00011868" w:rsidP="00011868">
      <w:pPr>
        <w:rPr>
          <w:rFonts w:ascii="Arial" w:hAnsi="Arial"/>
        </w:rPr>
      </w:pPr>
      <w:r>
        <w:rPr>
          <w:rFonts w:ascii="Arial" w:hAnsi="Arial"/>
        </w:rPr>
        <w:t>Outline l</w:t>
      </w:r>
      <w:r w:rsidRPr="008E2DC0">
        <w:rPr>
          <w:rFonts w:ascii="Arial" w:hAnsi="Arial"/>
        </w:rPr>
        <w:t xml:space="preserve">egislation and regulations that impact on advertising and promoting the business. </w:t>
      </w:r>
    </w:p>
    <w:p w14:paraId="230AE140" w14:textId="77777777" w:rsidR="0021259B" w:rsidRDefault="00D42FA2" w:rsidP="005D5C97">
      <w:pPr>
        <w:rPr>
          <w:color w:val="FF0000"/>
        </w:rPr>
      </w:pPr>
      <w:r w:rsidRPr="005D5C97">
        <w:rPr>
          <w:rFonts w:ascii="Arial" w:hAnsi="Arial"/>
          <w:color w:val="FF0000"/>
        </w:rPr>
        <w:t xml:space="preserve">To complete this </w:t>
      </w:r>
      <w:r w:rsidR="005D5C97" w:rsidRPr="005D5C97">
        <w:rPr>
          <w:rFonts w:ascii="Arial" w:hAnsi="Arial"/>
          <w:color w:val="FF0000"/>
        </w:rPr>
        <w:t>section,</w:t>
      </w:r>
      <w:r w:rsidRPr="005D5C97">
        <w:rPr>
          <w:rFonts w:ascii="Arial" w:hAnsi="Arial"/>
          <w:color w:val="FF0000"/>
        </w:rPr>
        <w:t xml:space="preserve"> you </w:t>
      </w:r>
      <w:r w:rsidR="00011868" w:rsidRPr="005D5C97">
        <w:rPr>
          <w:color w:val="FF0000"/>
        </w:rPr>
        <w:t>should refer to</w:t>
      </w:r>
      <w:r w:rsidR="0021259B">
        <w:rPr>
          <w:color w:val="FF0000"/>
        </w:rPr>
        <w:t>:</w:t>
      </w:r>
    </w:p>
    <w:p w14:paraId="0CD83BBA" w14:textId="50FA07D2" w:rsidR="00011868" w:rsidRDefault="00011868" w:rsidP="0021259B">
      <w:pPr>
        <w:pStyle w:val="ListParagraph"/>
        <w:numPr>
          <w:ilvl w:val="0"/>
          <w:numId w:val="24"/>
        </w:numPr>
      </w:pPr>
      <w:r w:rsidRPr="0021259B">
        <w:rPr>
          <w:color w:val="FF0000"/>
        </w:rPr>
        <w:t xml:space="preserve">the Australian Consumer Law </w:t>
      </w:r>
    </w:p>
    <w:p w14:paraId="214205E7" w14:textId="5E6A03B1" w:rsidR="00011868" w:rsidRDefault="005D5C97" w:rsidP="0021259B">
      <w:pPr>
        <w:pStyle w:val="Responseblock"/>
        <w:spacing w:before="240"/>
      </w:pPr>
      <w:hyperlink r:id="rId13" w:history="1">
        <w:r w:rsidRPr="00703C9F">
          <w:rPr>
            <w:rStyle w:val="Hyperlink"/>
          </w:rPr>
          <w:t>https://www.accc.gov.au/business/advertising-promoting-your-business</w:t>
        </w:r>
      </w:hyperlink>
      <w:r w:rsidR="00011868">
        <w:t xml:space="preserve"> </w:t>
      </w:r>
    </w:p>
    <w:p w14:paraId="7A9760F0" w14:textId="5C46FBCF" w:rsidR="00011868" w:rsidRDefault="00011868" w:rsidP="0021259B">
      <w:pPr>
        <w:pStyle w:val="Responseblock"/>
        <w:numPr>
          <w:ilvl w:val="0"/>
          <w:numId w:val="24"/>
        </w:numPr>
      </w:pPr>
      <w:r>
        <w:t xml:space="preserve">regulation RG234 Advertising financial products and service good practice guidance </w:t>
      </w:r>
    </w:p>
    <w:p w14:paraId="61334121" w14:textId="25B33A2F" w:rsidR="00011868" w:rsidRDefault="00FF5ADC" w:rsidP="000C5A9F">
      <w:pPr>
        <w:pStyle w:val="Responseblock"/>
      </w:pPr>
      <w:hyperlink r:id="rId14" w:history="1">
        <w:r w:rsidR="00011868" w:rsidRPr="00794B34">
          <w:rPr>
            <w:rStyle w:val="Hyperlink"/>
          </w:rPr>
          <w:t>https://asic.gov.au/regulatory-resources/find-a-document/regulatory-guides/rg-234-advertising-financial-products-and-services-including-credit-good-practice-guidance/</w:t>
        </w:r>
      </w:hyperlink>
      <w:r w:rsidR="00011868">
        <w:t xml:space="preserve"> </w:t>
      </w:r>
    </w:p>
    <w:p w14:paraId="76947A36" w14:textId="1C6EC975" w:rsidR="00011868" w:rsidRDefault="00011868" w:rsidP="00011868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92168EC" w14:textId="77777777" w:rsidR="00011868" w:rsidRPr="008E2DC0" w:rsidRDefault="00011868" w:rsidP="00011868">
      <w:pPr>
        <w:rPr>
          <w:rFonts w:ascii="Arial" w:hAnsi="Arial"/>
          <w:b/>
          <w:bCs/>
        </w:rPr>
      </w:pPr>
      <w:r w:rsidRPr="008E2DC0">
        <w:rPr>
          <w:rFonts w:ascii="Arial" w:hAnsi="Arial"/>
          <w:b/>
          <w:bCs/>
        </w:rPr>
        <w:t xml:space="preserve">Implications </w:t>
      </w:r>
    </w:p>
    <w:p w14:paraId="51C2F096" w14:textId="77777777" w:rsidR="00011868" w:rsidRPr="008E2DC0" w:rsidRDefault="00011868" w:rsidP="00011868">
      <w:pPr>
        <w:rPr>
          <w:rFonts w:ascii="Arial" w:hAnsi="Arial"/>
        </w:rPr>
      </w:pPr>
      <w:r w:rsidRPr="008E2DC0">
        <w:rPr>
          <w:rFonts w:ascii="Arial" w:hAnsi="Arial"/>
        </w:rPr>
        <w:t>I</w:t>
      </w:r>
      <w:r>
        <w:rPr>
          <w:rFonts w:ascii="Arial" w:hAnsi="Arial"/>
        </w:rPr>
        <w:t>nclude the i</w:t>
      </w:r>
      <w:r w:rsidRPr="008E2DC0">
        <w:rPr>
          <w:rFonts w:ascii="Arial" w:hAnsi="Arial"/>
        </w:rPr>
        <w:t>mplications of the legislation and regulations you have identified for advertising and promoting the business.</w:t>
      </w:r>
    </w:p>
    <w:p w14:paraId="1D2CBF88" w14:textId="31BA3797" w:rsidR="00011868" w:rsidRPr="003263AD" w:rsidRDefault="000C5A9F" w:rsidP="000C5A9F">
      <w:pPr>
        <w:rPr>
          <w:color w:val="FF0000"/>
        </w:rPr>
      </w:pPr>
      <w:r w:rsidRPr="003263AD">
        <w:rPr>
          <w:rFonts w:ascii="Arial" w:hAnsi="Arial"/>
          <w:color w:val="FF0000"/>
        </w:rPr>
        <w:t xml:space="preserve">To complete this </w:t>
      </w:r>
      <w:r w:rsidR="003263AD" w:rsidRPr="003263AD">
        <w:rPr>
          <w:rFonts w:ascii="Arial" w:hAnsi="Arial"/>
          <w:color w:val="FF0000"/>
        </w:rPr>
        <w:t>section,</w:t>
      </w:r>
      <w:r w:rsidRPr="003263AD">
        <w:rPr>
          <w:rFonts w:ascii="Arial" w:hAnsi="Arial"/>
          <w:color w:val="FF0000"/>
        </w:rPr>
        <w:t xml:space="preserve"> you </w:t>
      </w:r>
      <w:r w:rsidR="00011868" w:rsidRPr="003263AD">
        <w:rPr>
          <w:color w:val="FF0000"/>
        </w:rPr>
        <w:t xml:space="preserve">should </w:t>
      </w:r>
      <w:proofErr w:type="spellStart"/>
      <w:r w:rsidR="00011868" w:rsidRPr="003263AD">
        <w:rPr>
          <w:color w:val="FF0000"/>
        </w:rPr>
        <w:t>summarise</w:t>
      </w:r>
      <w:proofErr w:type="spellEnd"/>
      <w:r w:rsidR="00011868" w:rsidRPr="003263AD">
        <w:rPr>
          <w:color w:val="FF0000"/>
        </w:rPr>
        <w:t xml:space="preserve"> key implications under </w:t>
      </w:r>
      <w:r w:rsidR="00AA292E">
        <w:rPr>
          <w:color w:val="FF0000"/>
        </w:rPr>
        <w:t>the legislation and legislation you have identified above</w:t>
      </w:r>
      <w:r w:rsidR="00011868" w:rsidRPr="003263AD">
        <w:rPr>
          <w:color w:val="FF0000"/>
        </w:rPr>
        <w:t>. For example, noting the types of advertising the legislation and regulation applies to.</w:t>
      </w:r>
    </w:p>
    <w:p w14:paraId="65490428" w14:textId="77777777" w:rsidR="00011868" w:rsidRDefault="00011868" w:rsidP="00011868">
      <w:pPr>
        <w:rPr>
          <w:rFonts w:ascii="Arial" w:hAnsi="Arial"/>
        </w:rPr>
      </w:pPr>
    </w:p>
    <w:p w14:paraId="3D3168EB" w14:textId="77777777" w:rsidR="00011868" w:rsidRPr="008E2DC0" w:rsidRDefault="00011868" w:rsidP="00011868">
      <w:pPr>
        <w:rPr>
          <w:rFonts w:ascii="Arial" w:hAnsi="Arial"/>
          <w:b/>
          <w:bCs/>
        </w:rPr>
      </w:pPr>
      <w:r w:rsidRPr="008E2DC0">
        <w:rPr>
          <w:rFonts w:ascii="Arial" w:hAnsi="Arial"/>
          <w:b/>
          <w:bCs/>
        </w:rPr>
        <w:t>Compliance req</w:t>
      </w:r>
      <w:r>
        <w:rPr>
          <w:rFonts w:ascii="Arial" w:hAnsi="Arial"/>
          <w:b/>
          <w:bCs/>
        </w:rPr>
        <w:t xml:space="preserve">uirements </w:t>
      </w:r>
    </w:p>
    <w:p w14:paraId="2B92D8E9" w14:textId="0F5DC469" w:rsidR="00011868" w:rsidRDefault="00011868" w:rsidP="00011868">
      <w:pPr>
        <w:rPr>
          <w:rFonts w:ascii="Arial" w:hAnsi="Arial"/>
        </w:rPr>
      </w:pPr>
      <w:r>
        <w:rPr>
          <w:rFonts w:ascii="Arial" w:hAnsi="Arial"/>
        </w:rPr>
        <w:t>Outline the c</w:t>
      </w:r>
      <w:r w:rsidRPr="008E2DC0">
        <w:rPr>
          <w:rFonts w:ascii="Arial" w:hAnsi="Arial"/>
        </w:rPr>
        <w:t>ompliance requirements that relate to your role as an Account Officer</w:t>
      </w:r>
      <w:r>
        <w:rPr>
          <w:rFonts w:ascii="Arial" w:hAnsi="Arial"/>
        </w:rPr>
        <w:t>.</w:t>
      </w:r>
    </w:p>
    <w:p w14:paraId="1B44AD10" w14:textId="77777777" w:rsidR="00BE7CB5" w:rsidRDefault="00BE7CB5" w:rsidP="00011868">
      <w:pPr>
        <w:rPr>
          <w:rFonts w:ascii="Arial" w:hAnsi="Arial"/>
        </w:rPr>
      </w:pPr>
    </w:p>
    <w:p w14:paraId="2673BC61" w14:textId="783FB227" w:rsidR="00011868" w:rsidRDefault="00AA292E" w:rsidP="00AA292E">
      <w:pPr>
        <w:pStyle w:val="Responseblock"/>
        <w:ind w:left="0"/>
      </w:pPr>
      <w:r>
        <w:t xml:space="preserve">To complete this section, you </w:t>
      </w:r>
      <w:r w:rsidR="00011868">
        <w:t>could refer to a range of compliance requirements</w:t>
      </w:r>
      <w:r w:rsidR="003F12D5">
        <w:t>,</w:t>
      </w:r>
      <w:r w:rsidR="00011868">
        <w:t xml:space="preserve"> </w:t>
      </w:r>
      <w:r w:rsidR="00BF58CE">
        <w:t>for example</w:t>
      </w:r>
      <w:r w:rsidR="003F12D5">
        <w:t>,</w:t>
      </w:r>
      <w:r w:rsidR="00BF58CE">
        <w:t xml:space="preserve"> </w:t>
      </w:r>
      <w:r w:rsidR="00011868">
        <w:t>the Fair Work Act</w:t>
      </w:r>
      <w:r w:rsidR="00BE7CB5">
        <w:t>, National Employment Standards</w:t>
      </w:r>
      <w:r w:rsidR="001A1DAA">
        <w:t>, Award</w:t>
      </w:r>
      <w:r w:rsidR="003F12D5">
        <w:t>,</w:t>
      </w:r>
      <w:r w:rsidR="001A1DAA">
        <w:t xml:space="preserve"> </w:t>
      </w:r>
      <w:r w:rsidR="000441E7">
        <w:t>e.g.,</w:t>
      </w:r>
      <w:r w:rsidR="00393DE8">
        <w:t xml:space="preserve"> </w:t>
      </w:r>
      <w:r w:rsidR="00393DE8" w:rsidRPr="00393DE8">
        <w:t>Clerks Private Sector Award [MA000002]</w:t>
      </w:r>
      <w:r w:rsidR="000441E7">
        <w:t>.</w:t>
      </w:r>
    </w:p>
    <w:p w14:paraId="3A721887" w14:textId="39F5288A" w:rsidR="00011868" w:rsidRDefault="002D395E" w:rsidP="00AA292E">
      <w:pPr>
        <w:pStyle w:val="Responseblock"/>
        <w:ind w:left="0"/>
      </w:pPr>
      <w:r>
        <w:t xml:space="preserve">You </w:t>
      </w:r>
      <w:r w:rsidR="00011868">
        <w:t>may also refer to general obligations such as:</w:t>
      </w:r>
    </w:p>
    <w:p w14:paraId="66F63121" w14:textId="77777777" w:rsidR="00011868" w:rsidRPr="00327B76" w:rsidRDefault="00011868" w:rsidP="00011868">
      <w:pPr>
        <w:pStyle w:val="ResponseText"/>
      </w:pPr>
      <w:r w:rsidRPr="00327B76">
        <w:lastRenderedPageBreak/>
        <w:t>General obligations include:</w:t>
      </w:r>
    </w:p>
    <w:p w14:paraId="0DC7AF9C" w14:textId="77777777" w:rsidR="00011868" w:rsidRPr="00327B76" w:rsidRDefault="00011868" w:rsidP="00011868">
      <w:pPr>
        <w:pStyle w:val="Responsebullets"/>
        <w:ind w:right="0"/>
        <w:contextualSpacing/>
        <w:outlineLvl w:val="9"/>
      </w:pPr>
      <w:r w:rsidRPr="00327B76">
        <w:t>Having arrangements in place to manage conflict of interest</w:t>
      </w:r>
    </w:p>
    <w:p w14:paraId="40A8A75F" w14:textId="77777777" w:rsidR="00011868" w:rsidRPr="00327B76" w:rsidRDefault="00011868" w:rsidP="00011868">
      <w:pPr>
        <w:pStyle w:val="Responsebullets"/>
        <w:ind w:right="0"/>
        <w:contextualSpacing/>
        <w:outlineLvl w:val="9"/>
      </w:pPr>
      <w:r w:rsidRPr="00327B76">
        <w:t xml:space="preserve">Complying with license conditions and financial services laws </w:t>
      </w:r>
    </w:p>
    <w:p w14:paraId="2129CE17" w14:textId="77777777" w:rsidR="00011868" w:rsidRPr="00327B76" w:rsidRDefault="00011868" w:rsidP="00011868">
      <w:pPr>
        <w:pStyle w:val="Responsebullets"/>
        <w:ind w:right="0"/>
        <w:contextualSpacing/>
        <w:outlineLvl w:val="9"/>
      </w:pPr>
      <w:r w:rsidRPr="00327B76">
        <w:t xml:space="preserve">Taking reasonable steps to ensure that all staff comply with financial services laws </w:t>
      </w:r>
    </w:p>
    <w:p w14:paraId="5BD41561" w14:textId="77777777" w:rsidR="00011868" w:rsidRPr="00327B76" w:rsidRDefault="00011868" w:rsidP="00011868">
      <w:pPr>
        <w:pStyle w:val="Responsebullets"/>
        <w:ind w:right="0"/>
        <w:contextualSpacing/>
        <w:outlineLvl w:val="9"/>
      </w:pPr>
      <w:r w:rsidRPr="00327B76">
        <w:t xml:space="preserve">Having adequate financial, </w:t>
      </w:r>
      <w:proofErr w:type="gramStart"/>
      <w:r w:rsidRPr="00327B76">
        <w:t>technological</w:t>
      </w:r>
      <w:proofErr w:type="gramEnd"/>
      <w:r w:rsidRPr="00327B76">
        <w:t xml:space="preserve"> and human resources to provide financial services covered by the license and to carry out supervisory arrangements</w:t>
      </w:r>
    </w:p>
    <w:p w14:paraId="72451FF3" w14:textId="77777777" w:rsidR="00011868" w:rsidRPr="00327B76" w:rsidRDefault="00011868" w:rsidP="00011868">
      <w:pPr>
        <w:pStyle w:val="Responsebullets"/>
        <w:ind w:right="0"/>
        <w:contextualSpacing/>
        <w:outlineLvl w:val="9"/>
      </w:pPr>
      <w:r w:rsidRPr="00327B76">
        <w:t>Maintain competence required by the license.</w:t>
      </w:r>
    </w:p>
    <w:p w14:paraId="60E794D4" w14:textId="77777777" w:rsidR="00011868" w:rsidRPr="00327B76" w:rsidRDefault="00011868" w:rsidP="00011868">
      <w:pPr>
        <w:pStyle w:val="Responsebullets"/>
        <w:ind w:right="0"/>
        <w:contextualSpacing/>
        <w:outlineLvl w:val="9"/>
      </w:pPr>
      <w:r w:rsidRPr="00327B76">
        <w:t xml:space="preserve">Ensure that staff are adequately trained and competent to provide financial services </w:t>
      </w:r>
    </w:p>
    <w:p w14:paraId="2F45640E" w14:textId="77777777" w:rsidR="00011868" w:rsidRPr="00327B76" w:rsidRDefault="00011868" w:rsidP="00011868">
      <w:pPr>
        <w:pStyle w:val="Responsebullets"/>
        <w:ind w:right="0"/>
        <w:contextualSpacing/>
        <w:outlineLvl w:val="9"/>
      </w:pPr>
      <w:r w:rsidRPr="00327B76">
        <w:t xml:space="preserve">Have a dispute resolution system </w:t>
      </w:r>
    </w:p>
    <w:p w14:paraId="075F1D5D" w14:textId="6BDE833B" w:rsidR="00011868" w:rsidRDefault="00011868" w:rsidP="00011868">
      <w:pPr>
        <w:pStyle w:val="Responsebullets"/>
        <w:ind w:right="0"/>
        <w:contextualSpacing/>
        <w:outlineLvl w:val="9"/>
      </w:pPr>
      <w:r w:rsidRPr="00327B76">
        <w:t>To establish and maintain adequate risk management systems</w:t>
      </w:r>
      <w:r>
        <w:t>.</w:t>
      </w:r>
    </w:p>
    <w:p w14:paraId="3B983ECF" w14:textId="77777777" w:rsidR="00011868" w:rsidRDefault="00011868" w:rsidP="00011868">
      <w:pPr>
        <w:rPr>
          <w:rFonts w:ascii="Arial" w:hAnsi="Arial"/>
        </w:rPr>
      </w:pPr>
    </w:p>
    <w:p w14:paraId="5AAE4EB5" w14:textId="77777777" w:rsidR="00011868" w:rsidRDefault="00011868" w:rsidP="00011868">
      <w:pPr>
        <w:rPr>
          <w:rFonts w:ascii="Arial" w:hAnsi="Arial"/>
        </w:rPr>
      </w:pPr>
    </w:p>
    <w:p w14:paraId="6C0E68D7" w14:textId="77777777" w:rsidR="00011868" w:rsidRPr="008E2DC0" w:rsidRDefault="00011868" w:rsidP="00011868">
      <w:pPr>
        <w:rPr>
          <w:rFonts w:ascii="Arial" w:hAnsi="Arial"/>
          <w:b/>
          <w:bCs/>
        </w:rPr>
      </w:pPr>
      <w:r w:rsidRPr="008E2DC0">
        <w:rPr>
          <w:rFonts w:ascii="Arial" w:hAnsi="Arial"/>
          <w:b/>
          <w:bCs/>
        </w:rPr>
        <w:t>Impact analysis</w:t>
      </w:r>
    </w:p>
    <w:p w14:paraId="7FD9004E" w14:textId="77777777" w:rsidR="00011868" w:rsidRPr="008E2DC0" w:rsidRDefault="00011868" w:rsidP="00011868">
      <w:pPr>
        <w:rPr>
          <w:rFonts w:ascii="Arial" w:hAnsi="Arial"/>
        </w:rPr>
      </w:pPr>
      <w:proofErr w:type="spellStart"/>
      <w:r w:rsidRPr="008E2DC0">
        <w:rPr>
          <w:rFonts w:ascii="Arial" w:hAnsi="Arial"/>
        </w:rPr>
        <w:t>Analys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 </w:t>
      </w:r>
      <w:r w:rsidRPr="008E2DC0">
        <w:rPr>
          <w:rFonts w:ascii="Arial" w:hAnsi="Arial"/>
        </w:rPr>
        <w:t xml:space="preserve">the impact of the </w:t>
      </w:r>
      <w:bookmarkStart w:id="0" w:name="_Hlk101350386"/>
      <w:r w:rsidRPr="008E2DC0">
        <w:rPr>
          <w:rFonts w:ascii="Arial" w:hAnsi="Arial"/>
        </w:rPr>
        <w:t>new qualification requirements for financial planners</w:t>
      </w:r>
      <w:bookmarkEnd w:id="0"/>
      <w:r w:rsidRPr="008E2DC0">
        <w:rPr>
          <w:rFonts w:ascii="Arial" w:hAnsi="Arial"/>
        </w:rPr>
        <w:t xml:space="preserve">. </w:t>
      </w:r>
    </w:p>
    <w:p w14:paraId="4E53912F" w14:textId="77777777" w:rsidR="002861F0" w:rsidRDefault="002861F0" w:rsidP="00011868">
      <w:pPr>
        <w:pStyle w:val="NormalQuestions"/>
        <w:ind w:left="0"/>
      </w:pPr>
    </w:p>
    <w:p w14:paraId="42EDA872" w14:textId="62CC2FD3" w:rsidR="00011868" w:rsidRPr="002861F0" w:rsidRDefault="00A0350F" w:rsidP="00011868">
      <w:pPr>
        <w:pStyle w:val="NormalQuestions"/>
        <w:ind w:left="0"/>
        <w:rPr>
          <w:color w:val="FF0000"/>
        </w:rPr>
      </w:pPr>
      <w:r w:rsidRPr="002861F0">
        <w:rPr>
          <w:color w:val="FF0000"/>
        </w:rPr>
        <w:t xml:space="preserve">An analysis </w:t>
      </w:r>
      <w:r w:rsidR="002861F0" w:rsidRPr="002861F0">
        <w:rPr>
          <w:color w:val="FF0000"/>
        </w:rPr>
        <w:t xml:space="preserve">of the impact of the </w:t>
      </w:r>
      <w:r w:rsidR="002861F0" w:rsidRPr="002861F0">
        <w:rPr>
          <w:color w:val="FF0000"/>
        </w:rPr>
        <w:t>new qualification requirements for financial planners</w:t>
      </w:r>
      <w:r w:rsidR="002861F0" w:rsidRPr="002861F0">
        <w:rPr>
          <w:color w:val="FF0000"/>
        </w:rPr>
        <w:t xml:space="preserve"> could include:</w:t>
      </w:r>
    </w:p>
    <w:p w14:paraId="527D0D04" w14:textId="77777777" w:rsidR="00E5367B" w:rsidRDefault="00E5367B" w:rsidP="00011868">
      <w:pPr>
        <w:pStyle w:val="Questionsbullets"/>
        <w:numPr>
          <w:ilvl w:val="0"/>
          <w:numId w:val="0"/>
        </w:numPr>
        <w:rPr>
          <w:color w:val="FF0000"/>
        </w:rPr>
      </w:pPr>
    </w:p>
    <w:p w14:paraId="02090906" w14:textId="71C286DF" w:rsidR="00011868" w:rsidRDefault="00011868" w:rsidP="00011868">
      <w:pPr>
        <w:pStyle w:val="Questionsbullets"/>
        <w:numPr>
          <w:ilvl w:val="0"/>
          <w:numId w:val="0"/>
        </w:numPr>
        <w:rPr>
          <w:color w:val="FF0000"/>
        </w:rPr>
      </w:pPr>
      <w:r>
        <w:rPr>
          <w:color w:val="FF0000"/>
        </w:rPr>
        <w:t>Fro</w:t>
      </w:r>
      <w:r w:rsidRPr="002E2E95">
        <w:rPr>
          <w:color w:val="FF0000"/>
        </w:rPr>
        <w:t>m 1 January 2019, new entrants into the financial adviser occupation will require an Australian Qualifications Framework (AQF) Level 7, approved qualification, equivalent to a bachelor</w:t>
      </w:r>
      <w:r w:rsidR="005B79DB">
        <w:rPr>
          <w:color w:val="FF0000"/>
        </w:rPr>
        <w:t>'</w:t>
      </w:r>
      <w:r w:rsidRPr="002E2E95">
        <w:rPr>
          <w:color w:val="FF0000"/>
        </w:rPr>
        <w:t xml:space="preserve">s degree. </w:t>
      </w:r>
    </w:p>
    <w:p w14:paraId="2FABD36B" w14:textId="77777777" w:rsidR="00011868" w:rsidRDefault="00011868" w:rsidP="00011868">
      <w:pPr>
        <w:pStyle w:val="Questionsbullets"/>
        <w:numPr>
          <w:ilvl w:val="0"/>
          <w:numId w:val="0"/>
        </w:numPr>
        <w:rPr>
          <w:color w:val="FF0000"/>
        </w:rPr>
      </w:pPr>
    </w:p>
    <w:p w14:paraId="6DDA781A" w14:textId="434CF50A" w:rsidR="00011868" w:rsidRPr="002E2E95" w:rsidRDefault="00011868" w:rsidP="00011868">
      <w:pPr>
        <w:pStyle w:val="Questionsbullets"/>
        <w:numPr>
          <w:ilvl w:val="0"/>
          <w:numId w:val="0"/>
        </w:numPr>
        <w:rPr>
          <w:color w:val="FF0000"/>
        </w:rPr>
      </w:pPr>
      <w:r w:rsidRPr="002E2E95">
        <w:rPr>
          <w:color w:val="FF0000"/>
        </w:rPr>
        <w:t>The proposed requirement for existing advisers depends on the individual</w:t>
      </w:r>
      <w:r w:rsidR="005B79DB">
        <w:rPr>
          <w:color w:val="FF0000"/>
        </w:rPr>
        <w:t>'</w:t>
      </w:r>
      <w:r w:rsidRPr="002E2E95">
        <w:rPr>
          <w:color w:val="FF0000"/>
        </w:rPr>
        <w:t xml:space="preserve">s existing qualifications; it ranges from an approved Graduate Diploma that includes three core subjects: Corporations Act, The FASEA Code of Ethics and Behavioural Finance; through to completing up to three bridging courses, which cover the core areas of Corporations Act, </w:t>
      </w:r>
    </w:p>
    <w:p w14:paraId="713E722E" w14:textId="0642A9D4" w:rsidR="00011868" w:rsidRPr="002E2E95" w:rsidRDefault="00011868" w:rsidP="00011868">
      <w:pPr>
        <w:pStyle w:val="NormalWeb"/>
        <w:spacing w:before="120" w:beforeAutospacing="0" w:after="120" w:afterAutospacing="0" w:line="276" w:lineRule="auto"/>
        <w:rPr>
          <w:rFonts w:ascii="Arial" w:hAnsi="Arial" w:cs="Arial"/>
          <w:color w:val="FF0000"/>
        </w:rPr>
      </w:pPr>
      <w:r w:rsidRPr="002E2E95">
        <w:rPr>
          <w:rFonts w:ascii="Arial" w:hAnsi="Arial" w:cs="Arial"/>
          <w:color w:val="FF0000"/>
        </w:rPr>
        <w:t xml:space="preserve"> An existing adviser is a person who provides personal advice to retail clients at any time between 1 January 2016 and 1 January 2019; and is not banned, </w:t>
      </w:r>
      <w:proofErr w:type="gramStart"/>
      <w:r w:rsidRPr="002E2E95">
        <w:rPr>
          <w:rFonts w:ascii="Arial" w:hAnsi="Arial" w:cs="Arial"/>
          <w:color w:val="FF0000"/>
        </w:rPr>
        <w:t>disqualified</w:t>
      </w:r>
      <w:proofErr w:type="gramEnd"/>
      <w:r w:rsidRPr="002E2E95">
        <w:rPr>
          <w:rFonts w:ascii="Arial" w:hAnsi="Arial" w:cs="Arial"/>
          <w:color w:val="FF0000"/>
        </w:rPr>
        <w:t xml:space="preserve"> or suspended. </w:t>
      </w:r>
      <w:proofErr w:type="gramStart"/>
      <w:r w:rsidRPr="002E2E95">
        <w:rPr>
          <w:rFonts w:ascii="Arial" w:hAnsi="Arial" w:cs="Arial"/>
          <w:color w:val="FF0000"/>
        </w:rPr>
        <w:t>Generally speaking, an</w:t>
      </w:r>
      <w:proofErr w:type="gramEnd"/>
      <w:r w:rsidRPr="002E2E95">
        <w:rPr>
          <w:rFonts w:ascii="Arial" w:hAnsi="Arial" w:cs="Arial"/>
          <w:color w:val="FF0000"/>
        </w:rPr>
        <w:t xml:space="preserve"> existing adviser will be any individual listed on ASIC</w:t>
      </w:r>
      <w:r w:rsidR="005B79DB">
        <w:rPr>
          <w:rFonts w:ascii="Arial" w:hAnsi="Arial" w:cs="Arial"/>
          <w:color w:val="FF0000"/>
        </w:rPr>
        <w:t>'</w:t>
      </w:r>
      <w:r w:rsidRPr="002E2E95">
        <w:rPr>
          <w:rFonts w:ascii="Arial" w:hAnsi="Arial" w:cs="Arial"/>
          <w:color w:val="FF0000"/>
        </w:rPr>
        <w:t>s Financi</w:t>
      </w:r>
      <w:r>
        <w:rPr>
          <w:rFonts w:ascii="Arial" w:hAnsi="Arial" w:cs="Arial"/>
          <w:color w:val="FF0000"/>
        </w:rPr>
        <w:t>al Adviser Register as current</w:t>
      </w:r>
      <w:r w:rsidRPr="002E2E95">
        <w:rPr>
          <w:rFonts w:ascii="Arial" w:hAnsi="Arial" w:cs="Arial"/>
          <w:color w:val="FF0000"/>
        </w:rPr>
        <w:t xml:space="preserve"> prior to 31 December 2018.  </w:t>
      </w:r>
    </w:p>
    <w:p w14:paraId="03CA46C1" w14:textId="77777777" w:rsidR="00011868" w:rsidRPr="002C641D" w:rsidRDefault="00011868" w:rsidP="00011868">
      <w:pPr>
        <w:pStyle w:val="NormalQuestions"/>
        <w:ind w:left="0"/>
      </w:pPr>
    </w:p>
    <w:p w14:paraId="3263FDD9" w14:textId="77777777" w:rsidR="00011868" w:rsidRPr="00FC38FD" w:rsidRDefault="00011868" w:rsidP="00011868">
      <w:pPr>
        <w:spacing w:before="0" w:line="276" w:lineRule="auto"/>
        <w:jc w:val="left"/>
        <w:rPr>
          <w:rFonts w:ascii="Arial" w:hAnsi="Arial"/>
          <w:lang w:val="en-AU"/>
        </w:rPr>
      </w:pPr>
    </w:p>
    <w:sectPr w:rsidR="00011868" w:rsidRPr="00FC38FD" w:rsidSect="001557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47" w:right="1247" w:bottom="1701" w:left="147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31C3" w14:textId="77777777" w:rsidR="00D06346" w:rsidRDefault="00D06346" w:rsidP="0014623A">
      <w:pPr>
        <w:spacing w:before="0"/>
      </w:pPr>
      <w:r>
        <w:separator/>
      </w:r>
    </w:p>
  </w:endnote>
  <w:endnote w:type="continuationSeparator" w:id="0">
    <w:p w14:paraId="5714B81F" w14:textId="77777777" w:rsidR="00D06346" w:rsidRDefault="00D06346" w:rsidP="0014623A">
      <w:pPr>
        <w:spacing w:before="0"/>
      </w:pPr>
      <w:r>
        <w:continuationSeparator/>
      </w:r>
    </w:p>
  </w:endnote>
  <w:endnote w:type="continuationNotice" w:id="1">
    <w:p w14:paraId="0579D655" w14:textId="77777777" w:rsidR="00960A71" w:rsidRDefault="00960A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956A" w14:textId="77777777" w:rsidR="00FF5ADC" w:rsidRDefault="00FF5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879C" w14:textId="13F611AA" w:rsidR="00A63731" w:rsidRPr="00FF5ADC" w:rsidRDefault="00A63731" w:rsidP="00FF5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2C4B" w14:textId="77777777" w:rsidR="00FF5ADC" w:rsidRDefault="00FF5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4E40" w14:textId="77777777" w:rsidR="00D06346" w:rsidRDefault="00D06346" w:rsidP="0014623A">
      <w:pPr>
        <w:spacing w:before="0"/>
      </w:pPr>
      <w:r>
        <w:separator/>
      </w:r>
    </w:p>
  </w:footnote>
  <w:footnote w:type="continuationSeparator" w:id="0">
    <w:p w14:paraId="37DFBC9B" w14:textId="77777777" w:rsidR="00D06346" w:rsidRDefault="00D06346" w:rsidP="0014623A">
      <w:pPr>
        <w:spacing w:before="0"/>
      </w:pPr>
      <w:r>
        <w:continuationSeparator/>
      </w:r>
    </w:p>
  </w:footnote>
  <w:footnote w:type="continuationNotice" w:id="1">
    <w:p w14:paraId="7873B2D9" w14:textId="77777777" w:rsidR="00960A71" w:rsidRDefault="00960A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F5FE" w14:textId="77777777" w:rsidR="00FF5ADC" w:rsidRDefault="00FF5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AB75" w14:textId="77777777" w:rsidR="00FF5ADC" w:rsidRDefault="00FF5A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2464" w14:textId="77777777" w:rsidR="00FF5ADC" w:rsidRDefault="00FF5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7CD1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C670A"/>
    <w:multiLevelType w:val="hybridMultilevel"/>
    <w:tmpl w:val="4A8A1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440B9"/>
    <w:multiLevelType w:val="hybridMultilevel"/>
    <w:tmpl w:val="6172A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226A0"/>
    <w:multiLevelType w:val="hybridMultilevel"/>
    <w:tmpl w:val="273CA6F2"/>
    <w:lvl w:ilvl="0" w:tplc="EDCC3FE4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40F95"/>
    <w:multiLevelType w:val="hybridMultilevel"/>
    <w:tmpl w:val="EB5CCC9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94876"/>
    <w:multiLevelType w:val="hybridMultilevel"/>
    <w:tmpl w:val="F7E81A04"/>
    <w:lvl w:ilvl="0" w:tplc="D526A6B8">
      <w:start w:val="1"/>
      <w:numFmt w:val="decimal"/>
      <w:pStyle w:val="Heading4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E7F0F"/>
    <w:multiLevelType w:val="hybridMultilevel"/>
    <w:tmpl w:val="D960D3B4"/>
    <w:lvl w:ilvl="0" w:tplc="A2BC892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D5666B"/>
    <w:multiLevelType w:val="hybridMultilevel"/>
    <w:tmpl w:val="A1FEF6E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16225"/>
    <w:multiLevelType w:val="hybridMultilevel"/>
    <w:tmpl w:val="A2EA5956"/>
    <w:lvl w:ilvl="0" w:tplc="7B142E9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6D3503"/>
    <w:multiLevelType w:val="hybridMultilevel"/>
    <w:tmpl w:val="EFC86C8A"/>
    <w:lvl w:ilvl="0" w:tplc="80D2578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BD183E"/>
    <w:multiLevelType w:val="hybridMultilevel"/>
    <w:tmpl w:val="DB58460C"/>
    <w:lvl w:ilvl="0" w:tplc="C0D406FE">
      <w:start w:val="1"/>
      <w:numFmt w:val="bullet"/>
      <w:pStyle w:val="Question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027A0"/>
    <w:multiLevelType w:val="hybridMultilevel"/>
    <w:tmpl w:val="A65C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51832"/>
    <w:multiLevelType w:val="hybridMultilevel"/>
    <w:tmpl w:val="E49E048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66EDE"/>
    <w:multiLevelType w:val="hybridMultilevel"/>
    <w:tmpl w:val="EE46A36A"/>
    <w:lvl w:ilvl="0" w:tplc="267E132A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9426E"/>
    <w:multiLevelType w:val="hybridMultilevel"/>
    <w:tmpl w:val="520C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43C4D"/>
    <w:multiLevelType w:val="hybridMultilevel"/>
    <w:tmpl w:val="0986D86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0E6405"/>
    <w:multiLevelType w:val="hybridMultilevel"/>
    <w:tmpl w:val="F47862FE"/>
    <w:lvl w:ilvl="0" w:tplc="2EF242C2">
      <w:start w:val="1"/>
      <w:numFmt w:val="bullet"/>
      <w:pStyle w:val="ListforDoc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C53B6"/>
    <w:multiLevelType w:val="hybridMultilevel"/>
    <w:tmpl w:val="8532569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3315B3"/>
    <w:multiLevelType w:val="hybridMultilevel"/>
    <w:tmpl w:val="C4FEFF86"/>
    <w:lvl w:ilvl="0" w:tplc="5BA2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2729C"/>
    <w:multiLevelType w:val="hybridMultilevel"/>
    <w:tmpl w:val="37E84832"/>
    <w:lvl w:ilvl="0" w:tplc="A0D6DF8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A31065"/>
    <w:multiLevelType w:val="hybridMultilevel"/>
    <w:tmpl w:val="5ECC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3792E"/>
    <w:multiLevelType w:val="hybridMultilevel"/>
    <w:tmpl w:val="04DE18C6"/>
    <w:lvl w:ilvl="0" w:tplc="A9DC0FEA">
      <w:start w:val="1"/>
      <w:numFmt w:val="bullet"/>
      <w:pStyle w:val="Responsebullets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66634383">
    <w:abstractNumId w:val="6"/>
  </w:num>
  <w:num w:numId="2" w16cid:durableId="2121994872">
    <w:abstractNumId w:val="16"/>
  </w:num>
  <w:num w:numId="3" w16cid:durableId="123669123">
    <w:abstractNumId w:val="5"/>
    <w:lvlOverride w:ilvl="0">
      <w:startOverride w:val="1"/>
    </w:lvlOverride>
  </w:num>
  <w:num w:numId="4" w16cid:durableId="7997022">
    <w:abstractNumId w:val="5"/>
  </w:num>
  <w:num w:numId="5" w16cid:durableId="90861644">
    <w:abstractNumId w:val="1"/>
  </w:num>
  <w:num w:numId="6" w16cid:durableId="633754637">
    <w:abstractNumId w:val="8"/>
  </w:num>
  <w:num w:numId="7" w16cid:durableId="685987905">
    <w:abstractNumId w:val="19"/>
  </w:num>
  <w:num w:numId="8" w16cid:durableId="1454791900">
    <w:abstractNumId w:val="13"/>
  </w:num>
  <w:num w:numId="9" w16cid:durableId="1471439089">
    <w:abstractNumId w:val="7"/>
  </w:num>
  <w:num w:numId="10" w16cid:durableId="1366558338">
    <w:abstractNumId w:val="2"/>
  </w:num>
  <w:num w:numId="11" w16cid:durableId="791829296">
    <w:abstractNumId w:val="12"/>
  </w:num>
  <w:num w:numId="12" w16cid:durableId="1196889371">
    <w:abstractNumId w:val="17"/>
  </w:num>
  <w:num w:numId="13" w16cid:durableId="1543402975">
    <w:abstractNumId w:val="9"/>
  </w:num>
  <w:num w:numId="14" w16cid:durableId="546767448">
    <w:abstractNumId w:val="4"/>
  </w:num>
  <w:num w:numId="15" w16cid:durableId="96098738">
    <w:abstractNumId w:val="3"/>
  </w:num>
  <w:num w:numId="16" w16cid:durableId="877472680">
    <w:abstractNumId w:val="15"/>
  </w:num>
  <w:num w:numId="17" w16cid:durableId="1573781646">
    <w:abstractNumId w:val="5"/>
  </w:num>
  <w:num w:numId="18" w16cid:durableId="1336420733">
    <w:abstractNumId w:val="0"/>
  </w:num>
  <w:num w:numId="19" w16cid:durableId="1294407924">
    <w:abstractNumId w:val="11"/>
  </w:num>
  <w:num w:numId="20" w16cid:durableId="127480033">
    <w:abstractNumId w:val="14"/>
  </w:num>
  <w:num w:numId="21" w16cid:durableId="415246851">
    <w:abstractNumId w:val="20"/>
  </w:num>
  <w:num w:numId="22" w16cid:durableId="1036584703">
    <w:abstractNumId w:val="10"/>
  </w:num>
  <w:num w:numId="23" w16cid:durableId="193999814">
    <w:abstractNumId w:val="21"/>
  </w:num>
  <w:num w:numId="24" w16cid:durableId="21303958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NDIzN7S0MDA2MjVX0lEKTi0uzszPAykwrAUAiWCRcSwAAAA="/>
  </w:docVars>
  <w:rsids>
    <w:rsidRoot w:val="0014623A"/>
    <w:rsid w:val="00011868"/>
    <w:rsid w:val="000364B9"/>
    <w:rsid w:val="000441E7"/>
    <w:rsid w:val="00047FB1"/>
    <w:rsid w:val="00066A79"/>
    <w:rsid w:val="00067BE6"/>
    <w:rsid w:val="0007755A"/>
    <w:rsid w:val="00091EE5"/>
    <w:rsid w:val="000B5A0C"/>
    <w:rsid w:val="000C5A9F"/>
    <w:rsid w:val="000D690A"/>
    <w:rsid w:val="00136964"/>
    <w:rsid w:val="0014623A"/>
    <w:rsid w:val="001516C3"/>
    <w:rsid w:val="0015570F"/>
    <w:rsid w:val="00175954"/>
    <w:rsid w:val="001A1DAA"/>
    <w:rsid w:val="0021259B"/>
    <w:rsid w:val="00237D8B"/>
    <w:rsid w:val="00285E13"/>
    <w:rsid w:val="002861F0"/>
    <w:rsid w:val="002B3285"/>
    <w:rsid w:val="002D395E"/>
    <w:rsid w:val="002E2E95"/>
    <w:rsid w:val="003263AD"/>
    <w:rsid w:val="003604C4"/>
    <w:rsid w:val="00392C4A"/>
    <w:rsid w:val="00393DE8"/>
    <w:rsid w:val="003A6B64"/>
    <w:rsid w:val="003D7C70"/>
    <w:rsid w:val="003F12D5"/>
    <w:rsid w:val="00411D66"/>
    <w:rsid w:val="0041586D"/>
    <w:rsid w:val="004320A0"/>
    <w:rsid w:val="0046540C"/>
    <w:rsid w:val="00484A6F"/>
    <w:rsid w:val="00486140"/>
    <w:rsid w:val="004B7025"/>
    <w:rsid w:val="004C3460"/>
    <w:rsid w:val="004C40A1"/>
    <w:rsid w:val="004F42D6"/>
    <w:rsid w:val="00575F75"/>
    <w:rsid w:val="005B79DB"/>
    <w:rsid w:val="005D5C97"/>
    <w:rsid w:val="005F401E"/>
    <w:rsid w:val="006130D6"/>
    <w:rsid w:val="006605DB"/>
    <w:rsid w:val="00677463"/>
    <w:rsid w:val="00682699"/>
    <w:rsid w:val="0068432F"/>
    <w:rsid w:val="006E35E8"/>
    <w:rsid w:val="00714283"/>
    <w:rsid w:val="007403B9"/>
    <w:rsid w:val="007810E3"/>
    <w:rsid w:val="00782C4D"/>
    <w:rsid w:val="00785F6D"/>
    <w:rsid w:val="007B3A50"/>
    <w:rsid w:val="008256C8"/>
    <w:rsid w:val="00844141"/>
    <w:rsid w:val="008B15AD"/>
    <w:rsid w:val="008D07C7"/>
    <w:rsid w:val="009178B6"/>
    <w:rsid w:val="00942C13"/>
    <w:rsid w:val="00960A71"/>
    <w:rsid w:val="0097360B"/>
    <w:rsid w:val="00994FA6"/>
    <w:rsid w:val="009E670E"/>
    <w:rsid w:val="00A0350F"/>
    <w:rsid w:val="00A06D01"/>
    <w:rsid w:val="00A1697A"/>
    <w:rsid w:val="00A54C91"/>
    <w:rsid w:val="00A63731"/>
    <w:rsid w:val="00A76AD1"/>
    <w:rsid w:val="00AA292E"/>
    <w:rsid w:val="00AB0B30"/>
    <w:rsid w:val="00AE698D"/>
    <w:rsid w:val="00B10FD3"/>
    <w:rsid w:val="00B86ACC"/>
    <w:rsid w:val="00BC26AE"/>
    <w:rsid w:val="00BC31C8"/>
    <w:rsid w:val="00BE7CB5"/>
    <w:rsid w:val="00BF2A2C"/>
    <w:rsid w:val="00BF58CE"/>
    <w:rsid w:val="00C002F4"/>
    <w:rsid w:val="00C36AD7"/>
    <w:rsid w:val="00C463B5"/>
    <w:rsid w:val="00C46D10"/>
    <w:rsid w:val="00C744ED"/>
    <w:rsid w:val="00C77E45"/>
    <w:rsid w:val="00C86BEE"/>
    <w:rsid w:val="00C90776"/>
    <w:rsid w:val="00CC62AD"/>
    <w:rsid w:val="00CE2287"/>
    <w:rsid w:val="00D06346"/>
    <w:rsid w:val="00D121FB"/>
    <w:rsid w:val="00D42FA2"/>
    <w:rsid w:val="00DA118C"/>
    <w:rsid w:val="00DB44C5"/>
    <w:rsid w:val="00DF2389"/>
    <w:rsid w:val="00E0527D"/>
    <w:rsid w:val="00E2108A"/>
    <w:rsid w:val="00E21C18"/>
    <w:rsid w:val="00E22095"/>
    <w:rsid w:val="00E26960"/>
    <w:rsid w:val="00E5367B"/>
    <w:rsid w:val="00E95D48"/>
    <w:rsid w:val="00EB1B76"/>
    <w:rsid w:val="00EB32AE"/>
    <w:rsid w:val="00EE411B"/>
    <w:rsid w:val="00EF4C50"/>
    <w:rsid w:val="00F34AA0"/>
    <w:rsid w:val="00F46E78"/>
    <w:rsid w:val="00F80ABE"/>
    <w:rsid w:val="00FA52B7"/>
    <w:rsid w:val="00FC38FD"/>
    <w:rsid w:val="00FF233B"/>
    <w:rsid w:val="00FF565F"/>
    <w:rsid w:val="00FF5ADC"/>
    <w:rsid w:val="06A73B0C"/>
    <w:rsid w:val="3AFD1ACE"/>
    <w:rsid w:val="518A6DA2"/>
    <w:rsid w:val="774B9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0171AF"/>
  <w14:defaultImageDpi w14:val="300"/>
  <w15:docId w15:val="{D8B9B641-BFAC-D34F-8495-E4107CC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3A"/>
    <w:pPr>
      <w:spacing w:before="120"/>
      <w:jc w:val="both"/>
    </w:pPr>
    <w:rPr>
      <w:rFonts w:ascii="Franklin Gothic Book" w:eastAsia="Times New Roman" w:hAnsi="Franklin Gothic Book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23A"/>
    <w:pPr>
      <w:pBdr>
        <w:bottom w:val="single" w:sz="4" w:space="1" w:color="auto"/>
      </w:pBdr>
      <w:outlineLvl w:val="0"/>
    </w:pPr>
    <w:rPr>
      <w:rFonts w:ascii="Perpetua Titling MT" w:hAnsi="Perpetua Titling MT"/>
      <w:b/>
      <w:color w:val="595959"/>
      <w:sz w:val="32"/>
      <w:szCs w:val="24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14623A"/>
    <w:pPr>
      <w:spacing w:before="360"/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623A"/>
    <w:pPr>
      <w:outlineLvl w:val="2"/>
    </w:pPr>
    <w:rPr>
      <w:b/>
      <w:color w:val="595959"/>
      <w:sz w:val="22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623A"/>
    <w:pPr>
      <w:numPr>
        <w:numId w:val="4"/>
      </w:numPr>
      <w:spacing w:before="240" w:after="120"/>
      <w:outlineLvl w:val="3"/>
    </w:pPr>
    <w:rPr>
      <w:b/>
      <w:i/>
      <w:color w:val="595959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623A"/>
    <w:rPr>
      <w:rFonts w:ascii="Perpetua Titling MT" w:eastAsia="Times New Roman" w:hAnsi="Perpetua Titling MT" w:cs="Arial"/>
      <w:b/>
      <w:color w:val="595959"/>
      <w:sz w:val="32"/>
      <w:szCs w:val="24"/>
      <w:lang w:val="en-US"/>
    </w:rPr>
  </w:style>
  <w:style w:type="character" w:customStyle="1" w:styleId="Heading2Char">
    <w:name w:val="Heading 2 Char"/>
    <w:link w:val="Heading2"/>
    <w:uiPriority w:val="9"/>
    <w:rsid w:val="0014623A"/>
    <w:rPr>
      <w:rFonts w:ascii="Franklin Gothic Book" w:eastAsia="Times New Roman" w:hAnsi="Franklin Gothic Book" w:cs="Arial"/>
      <w:b/>
      <w:color w:val="595959"/>
      <w:sz w:val="28"/>
      <w:szCs w:val="20"/>
      <w:lang w:eastAsia="en-AU"/>
    </w:rPr>
  </w:style>
  <w:style w:type="character" w:customStyle="1" w:styleId="Heading3Char">
    <w:name w:val="Heading 3 Char"/>
    <w:link w:val="Heading3"/>
    <w:uiPriority w:val="9"/>
    <w:rsid w:val="0014623A"/>
    <w:rPr>
      <w:rFonts w:ascii="Franklin Gothic Book" w:eastAsia="Times New Roman" w:hAnsi="Franklin Gothic Book" w:cs="Arial"/>
      <w:b/>
      <w:color w:val="595959"/>
      <w:szCs w:val="20"/>
      <w:lang w:eastAsia="en-AU"/>
    </w:rPr>
  </w:style>
  <w:style w:type="character" w:customStyle="1" w:styleId="Heading4Char">
    <w:name w:val="Heading 4 Char"/>
    <w:link w:val="Heading4"/>
    <w:uiPriority w:val="9"/>
    <w:rsid w:val="0014623A"/>
    <w:rPr>
      <w:rFonts w:ascii="Franklin Gothic Book" w:eastAsia="Times New Roman" w:hAnsi="Franklin Gothic Book" w:cs="Arial"/>
      <w:b/>
      <w:i/>
      <w:color w:val="595959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4623A"/>
    <w:pPr>
      <w:numPr>
        <w:numId w:val="1"/>
      </w:numPr>
    </w:pPr>
  </w:style>
  <w:style w:type="paragraph" w:customStyle="1" w:styleId="ListforDocEnd">
    <w:name w:val="List for DocEnd"/>
    <w:basedOn w:val="Normal"/>
    <w:link w:val="ListforDocEndChar"/>
    <w:qFormat/>
    <w:rsid w:val="0014623A"/>
    <w:pPr>
      <w:numPr>
        <w:numId w:val="2"/>
      </w:numPr>
      <w:spacing w:before="0"/>
    </w:pPr>
    <w:rPr>
      <w:color w:val="595959"/>
      <w:sz w:val="18"/>
      <w:szCs w:val="18"/>
      <w:lang w:val="en-AU" w:eastAsia="en-AU"/>
    </w:rPr>
  </w:style>
  <w:style w:type="character" w:customStyle="1" w:styleId="ListforDocEndChar">
    <w:name w:val="List for DocEnd Char"/>
    <w:link w:val="ListforDocEnd"/>
    <w:rsid w:val="0014623A"/>
    <w:rPr>
      <w:rFonts w:ascii="Franklin Gothic Book" w:eastAsia="Times New Roman" w:hAnsi="Franklin Gothic Book" w:cs="Arial"/>
      <w:color w:val="595959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4623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rsid w:val="0014623A"/>
    <w:rPr>
      <w:rFonts w:ascii="Franklin Gothic Book" w:eastAsia="Times New Roman" w:hAnsi="Franklin Gothic Book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623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rsid w:val="0014623A"/>
    <w:rPr>
      <w:rFonts w:ascii="Franklin Gothic Book" w:eastAsia="Times New Roman" w:hAnsi="Franklin Gothic Book" w:cs="Arial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6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F565F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Arial">
    <w:name w:val="Arial"/>
    <w:basedOn w:val="Header"/>
    <w:rsid w:val="001516C3"/>
    <w:pPr>
      <w:tabs>
        <w:tab w:val="clear" w:pos="4513"/>
        <w:tab w:val="clear" w:pos="9026"/>
        <w:tab w:val="center" w:pos="4153"/>
        <w:tab w:val="right" w:pos="8306"/>
      </w:tabs>
      <w:jc w:val="left"/>
    </w:pPr>
    <w:rPr>
      <w:rFonts w:ascii="Verdana" w:hAnsi="Verdana" w:cs="Times New Roman"/>
      <w:sz w:val="16"/>
      <w:szCs w:val="16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DF2389"/>
    <w:rPr>
      <w:color w:val="0000FF"/>
      <w:u w:val="single"/>
    </w:rPr>
  </w:style>
  <w:style w:type="paragraph" w:customStyle="1" w:styleId="NormalQuestions">
    <w:name w:val="Normal Questions"/>
    <w:basedOn w:val="Normal"/>
    <w:qFormat/>
    <w:rsid w:val="00DF2389"/>
    <w:pPr>
      <w:spacing w:before="0" w:line="276" w:lineRule="auto"/>
      <w:ind w:left="1049"/>
      <w:jc w:val="left"/>
    </w:pPr>
    <w:rPr>
      <w:rFonts w:ascii="Arial" w:hAnsi="Arial"/>
      <w:lang w:val="en-AU" w:eastAsia="en-AU"/>
    </w:rPr>
  </w:style>
  <w:style w:type="paragraph" w:customStyle="1" w:styleId="Questionsbullets">
    <w:name w:val="Questions bullets"/>
    <w:basedOn w:val="Normal"/>
    <w:qFormat/>
    <w:rsid w:val="00DF2389"/>
    <w:pPr>
      <w:numPr>
        <w:numId w:val="22"/>
      </w:numPr>
      <w:spacing w:before="0" w:line="276" w:lineRule="auto"/>
      <w:contextualSpacing/>
      <w:jc w:val="left"/>
    </w:pPr>
    <w:rPr>
      <w:rFonts w:ascii="Arial" w:hAnsi="Arial"/>
      <w:lang w:val="en-AU" w:eastAsia="en-AU"/>
    </w:rPr>
  </w:style>
  <w:style w:type="paragraph" w:customStyle="1" w:styleId="ResponseText">
    <w:name w:val="Response Text"/>
    <w:basedOn w:val="Normal"/>
    <w:uiPriority w:val="99"/>
    <w:qFormat/>
    <w:rsid w:val="00DF2389"/>
    <w:pPr>
      <w:spacing w:before="0" w:after="60" w:line="276" w:lineRule="auto"/>
      <w:jc w:val="left"/>
    </w:pPr>
    <w:rPr>
      <w:rFonts w:ascii="Arial" w:hAnsi="Arial"/>
      <w:color w:val="FF0000"/>
      <w:lang w:val="en-AU" w:eastAsia="en-AU"/>
    </w:rPr>
  </w:style>
  <w:style w:type="paragraph" w:customStyle="1" w:styleId="Responsebullets">
    <w:name w:val="Response bullets"/>
    <w:basedOn w:val="Normal"/>
    <w:autoRedefine/>
    <w:qFormat/>
    <w:rsid w:val="00DF2389"/>
    <w:pPr>
      <w:numPr>
        <w:numId w:val="23"/>
      </w:numPr>
      <w:spacing w:after="120" w:line="276" w:lineRule="auto"/>
      <w:ind w:right="-2"/>
      <w:jc w:val="left"/>
      <w:outlineLvl w:val="6"/>
    </w:pPr>
    <w:rPr>
      <w:rFonts w:ascii="Arial" w:hAnsi="Arial" w:cs="Kalinga"/>
      <w:color w:val="FF0000"/>
      <w:szCs w:val="19"/>
      <w:lang w:val="en-AU" w:eastAsia="en-AU"/>
    </w:rPr>
  </w:style>
  <w:style w:type="paragraph" w:customStyle="1" w:styleId="shortt">
    <w:name w:val="shortt"/>
    <w:basedOn w:val="Normal"/>
    <w:rsid w:val="00EE411B"/>
    <w:pPr>
      <w:spacing w:before="100" w:beforeAutospacing="1" w:after="100" w:afterAutospacing="1"/>
      <w:jc w:val="left"/>
    </w:pPr>
    <w:rPr>
      <w:rFonts w:ascii="Times" w:eastAsiaTheme="minorHAnsi" w:hAnsi="Times" w:cstheme="minorBidi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E411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2E95"/>
    <w:pPr>
      <w:spacing w:before="100" w:beforeAutospacing="1" w:after="100" w:afterAutospacing="1"/>
      <w:jc w:val="left"/>
    </w:pPr>
    <w:rPr>
      <w:rFonts w:ascii="Times" w:eastAsia="Calibri" w:hAnsi="Times" w:cs="Times New Roman"/>
      <w:lang w:val="en-AU"/>
    </w:rPr>
  </w:style>
  <w:style w:type="character" w:styleId="Strong">
    <w:name w:val="Strong"/>
    <w:basedOn w:val="DefaultParagraphFont"/>
    <w:uiPriority w:val="22"/>
    <w:qFormat/>
    <w:rsid w:val="002E2E95"/>
    <w:rPr>
      <w:b/>
      <w:bCs/>
    </w:rPr>
  </w:style>
  <w:style w:type="paragraph" w:customStyle="1" w:styleId="Responseblock">
    <w:name w:val="Response block"/>
    <w:basedOn w:val="ResponseText"/>
    <w:qFormat/>
    <w:rsid w:val="00011868"/>
    <w:pPr>
      <w:spacing w:after="120"/>
      <w:ind w:left="709"/>
    </w:pPr>
  </w:style>
  <w:style w:type="character" w:styleId="UnresolvedMention">
    <w:name w:val="Unresolved Mention"/>
    <w:basedOn w:val="DefaultParagraphFont"/>
    <w:uiPriority w:val="99"/>
    <w:semiHidden/>
    <w:unhideWhenUsed/>
    <w:rsid w:val="00011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cc.gov.au/business/advertising-promoting-your-busin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pra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gov.au/Planning/Industry-information/Financial-and-insurance-services-industr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sic.gov.au/regulatory-resources/financial-services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ic.gov.au/regulatory-resources/find-a-document/regulatory-guides/rg-234-advertising-financial-products-and-services-including-credit-good-practice-guidan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F5EBD-BAF7-417C-92B3-3E5EBF17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708F9-2CD3-450D-AF0D-FA934C87B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A15F5-F6D4-4D25-BEA1-847CD3209E3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ce645488-6fd6-46e5-8e0c-bbe6f151e32e"/>
    <ds:schemaRef ds:uri="http://schemas.microsoft.com/office/infopath/2007/PartnerControls"/>
    <ds:schemaRef ds:uri="http://schemas.openxmlformats.org/package/2006/metadata/core-properties"/>
    <ds:schemaRef ds:uri="cff330f7-cf22-4164-ab59-4b915ccf094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Company>CMC - Training at Work</Company>
  <LinksUpToDate>false</LinksUpToDate>
  <CharactersWithSpaces>4425</CharactersWithSpaces>
  <SharedDoc>false</SharedDoc>
  <HLinks>
    <vt:vector size="12" baseType="variant">
      <vt:variant>
        <vt:i4>3276844</vt:i4>
      </vt:variant>
      <vt:variant>
        <vt:i4>3</vt:i4>
      </vt:variant>
      <vt:variant>
        <vt:i4>0</vt:i4>
      </vt:variant>
      <vt:variant>
        <vt:i4>5</vt:i4>
      </vt:variant>
      <vt:variant>
        <vt:lpwstr>https://asic.gov.au/regulatory-resources/find-a-document/regulatory-guides/rg-234-advertising-financial-products-and-services-including-credit-good-practice-guidance/</vt:lpwstr>
      </vt:variant>
      <vt:variant>
        <vt:lpwstr/>
      </vt:variant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https://www.accc.gov.au/business/advertising-promoting-your-business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Recruitment and Induction</dc:title>
  <dc:subject>Recruitment and Induction</dc:subject>
  <dc:creator>RTO Advice Services</dc:creator>
  <cp:keywords/>
  <dc:description/>
  <cp:lastModifiedBy>Gayelene Townsend</cp:lastModifiedBy>
  <cp:revision>3</cp:revision>
  <cp:lastPrinted>2010-03-16T02:56:00Z</cp:lastPrinted>
  <dcterms:created xsi:type="dcterms:W3CDTF">2022-04-20T03:07:00Z</dcterms:created>
  <dcterms:modified xsi:type="dcterms:W3CDTF">2022-04-20T03:07:00Z</dcterms:modified>
  <cp:category>HR13.1</cp:category>
  <cp:contentStatus>V2 - 06-01-10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2022-04-20T00:53:50Z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2ac8ceeb-6e10-4d30-bdc9-33c44cb599f7</vt:lpwstr>
  </property>
  <property fmtid="{D5CDD505-2E9C-101B-9397-08002B2CF9AE}" pid="9" name="MSIP_Label_c96ed6d7-747c-41fd-b042-ff14484edc24_ContentBits">
    <vt:lpwstr>0</vt:lpwstr>
  </property>
</Properties>
</file>